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07D0" w:rsidRDefault="001907D0" w:rsidP="001C5FB5">
      <w:pPr>
        <w:pStyle w:val="Heading1"/>
        <w:jc w:val="center"/>
        <w:rPr>
          <w:rFonts w:cstheme="majorHAnsi"/>
          <w:color w:val="000000" w:themeColor="text1"/>
          <w:u w:val="single"/>
        </w:rPr>
      </w:pPr>
      <w:r w:rsidRPr="008475EA">
        <w:rPr>
          <w:rFonts w:asciiTheme="minorHAnsi" w:hAnsiTheme="minorHAnsi" w:cstheme="minorHAnsi"/>
          <w:noProof/>
          <w:sz w:val="24"/>
          <w:szCs w:val="24"/>
          <w:lang w:val="en-IN" w:eastAsia="en-IN"/>
        </w:rPr>
        <w:drawing>
          <wp:inline distT="0" distB="0" distL="0" distR="0" wp14:anchorId="7F7A1FEC" wp14:editId="0B27A55C">
            <wp:extent cx="14573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7325" cy="419100"/>
                    </a:xfrm>
                    <a:prstGeom prst="rect">
                      <a:avLst/>
                    </a:prstGeom>
                    <a:noFill/>
                    <a:ln>
                      <a:noFill/>
                    </a:ln>
                  </pic:spPr>
                </pic:pic>
              </a:graphicData>
            </a:graphic>
          </wp:inline>
        </w:drawing>
      </w:r>
    </w:p>
    <w:p w:rsidR="00321519" w:rsidRPr="00092979" w:rsidRDefault="00000000" w:rsidP="001907D0">
      <w:pPr>
        <w:pStyle w:val="Heading1"/>
        <w:jc w:val="center"/>
        <w:rPr>
          <w:rFonts w:cstheme="majorHAnsi"/>
          <w:color w:val="000000" w:themeColor="text1"/>
          <w:u w:val="single"/>
        </w:rPr>
      </w:pPr>
      <w:r w:rsidRPr="00092979">
        <w:rPr>
          <w:rFonts w:cstheme="majorHAnsi"/>
          <w:color w:val="000000" w:themeColor="text1"/>
          <w:u w:val="single"/>
        </w:rPr>
        <w:t>PRESS RELEASE</w:t>
      </w:r>
    </w:p>
    <w:p w:rsidR="00321519" w:rsidRPr="002B0E10" w:rsidRDefault="002D70B8" w:rsidP="001C5FB5">
      <w:pPr>
        <w:pStyle w:val="Heading2"/>
        <w:rPr>
          <w:rFonts w:ascii="Calibri" w:hAnsi="Calibri" w:cs="Calibri"/>
          <w:color w:val="000000" w:themeColor="text1"/>
          <w:sz w:val="28"/>
          <w:szCs w:val="28"/>
        </w:rPr>
      </w:pPr>
      <w:r w:rsidRPr="002B0E10">
        <w:rPr>
          <w:rFonts w:ascii="Calibri" w:hAnsi="Calibri" w:cs="Calibri"/>
          <w:color w:val="000000" w:themeColor="text1"/>
          <w:sz w:val="28"/>
          <w:szCs w:val="28"/>
        </w:rPr>
        <w:t xml:space="preserve">Indian Auto Component Industry scales </w:t>
      </w:r>
      <w:r w:rsidR="00EF60C2">
        <w:rPr>
          <w:rFonts w:ascii="Calibri" w:hAnsi="Calibri" w:cs="Calibri"/>
          <w:color w:val="000000" w:themeColor="text1"/>
          <w:sz w:val="28"/>
          <w:szCs w:val="28"/>
        </w:rPr>
        <w:t xml:space="preserve">INR. </w:t>
      </w:r>
      <w:r w:rsidRPr="002B0E10">
        <w:rPr>
          <w:rFonts w:ascii="Calibri" w:hAnsi="Calibri" w:cs="Calibri"/>
          <w:color w:val="000000" w:themeColor="text1"/>
          <w:sz w:val="28"/>
          <w:szCs w:val="28"/>
        </w:rPr>
        <w:t>7.6 lakh crore in FY2025–26; domestic demand and exports sustain growth</w:t>
      </w:r>
    </w:p>
    <w:p w:rsidR="002B0E10" w:rsidRPr="001907D0" w:rsidRDefault="00000000" w:rsidP="001907D0">
      <w:pPr>
        <w:pStyle w:val="ListParagraph"/>
        <w:numPr>
          <w:ilvl w:val="0"/>
          <w:numId w:val="15"/>
        </w:numPr>
        <w:rPr>
          <w:rFonts w:ascii="Calibri" w:hAnsi="Calibri" w:cs="Calibri"/>
          <w:sz w:val="28"/>
          <w:szCs w:val="28"/>
        </w:rPr>
      </w:pPr>
      <w:r w:rsidRPr="001907D0">
        <w:rPr>
          <w:rFonts w:ascii="Calibri" w:hAnsi="Calibri" w:cs="Calibri"/>
          <w:sz w:val="24"/>
          <w:szCs w:val="24"/>
        </w:rPr>
        <w:t xml:space="preserve">Industry turnover grows 12.7% to </w:t>
      </w:r>
      <w:r w:rsidR="00EF60C2">
        <w:rPr>
          <w:rFonts w:ascii="Calibri" w:hAnsi="Calibri" w:cs="Calibri"/>
          <w:sz w:val="24"/>
          <w:szCs w:val="24"/>
        </w:rPr>
        <w:t xml:space="preserve">INR. </w:t>
      </w:r>
      <w:r w:rsidRPr="001907D0">
        <w:rPr>
          <w:rFonts w:ascii="Calibri" w:hAnsi="Calibri" w:cs="Calibri"/>
          <w:sz w:val="24"/>
          <w:szCs w:val="24"/>
        </w:rPr>
        <w:t>7.60 lakh crore (USD 85.9 billion)</w:t>
      </w:r>
    </w:p>
    <w:p w:rsidR="001907D0" w:rsidRPr="00FF0DAA" w:rsidRDefault="00000000" w:rsidP="001907D0">
      <w:pPr>
        <w:pStyle w:val="ListParagraph"/>
        <w:numPr>
          <w:ilvl w:val="0"/>
          <w:numId w:val="15"/>
        </w:numPr>
        <w:rPr>
          <w:rFonts w:ascii="Calibri" w:hAnsi="Calibri" w:cs="Calibri"/>
          <w:sz w:val="24"/>
          <w:szCs w:val="24"/>
        </w:rPr>
      </w:pPr>
      <w:r w:rsidRPr="001907D0">
        <w:rPr>
          <w:rFonts w:ascii="Calibri" w:hAnsi="Calibri" w:cs="Calibri"/>
          <w:sz w:val="24"/>
          <w:szCs w:val="24"/>
        </w:rPr>
        <w:t>OEM supplies rise 16.3%; exports touch USD 24 billion</w:t>
      </w:r>
    </w:p>
    <w:p w:rsidR="00321519" w:rsidRPr="00FF0DAA" w:rsidRDefault="002B0E10" w:rsidP="001907D0">
      <w:pPr>
        <w:pStyle w:val="ListParagraph"/>
        <w:numPr>
          <w:ilvl w:val="0"/>
          <w:numId w:val="15"/>
        </w:numPr>
        <w:rPr>
          <w:rFonts w:ascii="Calibri" w:hAnsi="Calibri" w:cs="Calibri"/>
          <w:sz w:val="24"/>
          <w:szCs w:val="24"/>
        </w:rPr>
      </w:pPr>
      <w:r w:rsidRPr="001907D0">
        <w:rPr>
          <w:rFonts w:ascii="Calibri" w:hAnsi="Calibri" w:cs="Calibri"/>
          <w:sz w:val="24"/>
          <w:szCs w:val="24"/>
        </w:rPr>
        <w:t>Industry doubles in size in five years, recording a CAGR of 17% (FY21</w:t>
      </w:r>
      <w:r w:rsidR="00FF0DAA">
        <w:rPr>
          <w:rFonts w:ascii="Calibri" w:hAnsi="Calibri" w:cs="Calibri"/>
          <w:sz w:val="24"/>
          <w:szCs w:val="24"/>
        </w:rPr>
        <w:t>-</w:t>
      </w:r>
      <w:r w:rsidRPr="001907D0">
        <w:rPr>
          <w:rFonts w:ascii="Calibri" w:hAnsi="Calibri" w:cs="Calibri"/>
          <w:sz w:val="24"/>
          <w:szCs w:val="24"/>
        </w:rPr>
        <w:t>FY26)</w:t>
      </w:r>
      <w:r w:rsidRPr="00FF0DAA">
        <w:rPr>
          <w:rFonts w:ascii="Calibri" w:hAnsi="Calibri" w:cs="Calibri"/>
          <w:sz w:val="24"/>
          <w:szCs w:val="24"/>
        </w:rPr>
        <w:br/>
      </w:r>
    </w:p>
    <w:p w:rsidR="001C5FB5" w:rsidRPr="002B0E10" w:rsidRDefault="00000000" w:rsidP="001C5FB5">
      <w:pPr>
        <w:jc w:val="both"/>
        <w:rPr>
          <w:rFonts w:ascii="Calibri" w:hAnsi="Calibri" w:cs="Calibri"/>
          <w:sz w:val="24"/>
          <w:szCs w:val="24"/>
        </w:rPr>
      </w:pPr>
      <w:r w:rsidRPr="002B0E10">
        <w:rPr>
          <w:rFonts w:ascii="Calibri" w:hAnsi="Calibri" w:cs="Calibri"/>
          <w:b/>
          <w:sz w:val="24"/>
          <w:szCs w:val="24"/>
        </w:rPr>
        <w:t>New Delhi</w:t>
      </w:r>
      <w:r w:rsidR="001C5FB5" w:rsidRPr="002B0E10">
        <w:rPr>
          <w:rFonts w:ascii="Calibri" w:hAnsi="Calibri" w:cs="Calibri"/>
          <w:b/>
          <w:sz w:val="24"/>
          <w:szCs w:val="24"/>
        </w:rPr>
        <w:t>; 0</w:t>
      </w:r>
      <w:r w:rsidRPr="002B0E10">
        <w:rPr>
          <w:rFonts w:ascii="Calibri" w:hAnsi="Calibri" w:cs="Calibri"/>
          <w:b/>
          <w:sz w:val="24"/>
          <w:szCs w:val="24"/>
        </w:rPr>
        <w:t>7 July 2026</w:t>
      </w:r>
      <w:r w:rsidR="001C5FB5" w:rsidRPr="002B0E10">
        <w:rPr>
          <w:rFonts w:ascii="Calibri" w:hAnsi="Calibri" w:cs="Calibri"/>
          <w:sz w:val="24"/>
          <w:szCs w:val="24"/>
        </w:rPr>
        <w:t xml:space="preserve">: </w:t>
      </w:r>
      <w:r w:rsidRPr="002B0E10">
        <w:rPr>
          <w:rFonts w:ascii="Calibri" w:hAnsi="Calibri" w:cs="Calibri"/>
          <w:sz w:val="24"/>
          <w:szCs w:val="24"/>
        </w:rPr>
        <w:t>Automotive Component Manufacturers Association of India (ACMA), the apex body representing India's auto component industry, today released the findings of its Industry Performance Review for FY2025</w:t>
      </w:r>
      <w:r w:rsidR="00FF0DAA">
        <w:rPr>
          <w:rFonts w:ascii="Calibri" w:hAnsi="Calibri" w:cs="Calibri"/>
          <w:sz w:val="24"/>
          <w:szCs w:val="24"/>
        </w:rPr>
        <w:t>-</w:t>
      </w:r>
      <w:r w:rsidRPr="002B0E10">
        <w:rPr>
          <w:rFonts w:ascii="Calibri" w:hAnsi="Calibri" w:cs="Calibri"/>
          <w:sz w:val="24"/>
          <w:szCs w:val="24"/>
        </w:rPr>
        <w:t xml:space="preserve">26. The industry recorded a turnover of </w:t>
      </w:r>
      <w:r w:rsidR="00EF60C2">
        <w:rPr>
          <w:rFonts w:ascii="Calibri" w:hAnsi="Calibri" w:cs="Calibri"/>
          <w:sz w:val="24"/>
          <w:szCs w:val="24"/>
        </w:rPr>
        <w:t xml:space="preserve">INR. </w:t>
      </w:r>
      <w:r w:rsidRPr="002B0E10">
        <w:rPr>
          <w:rFonts w:ascii="Calibri" w:hAnsi="Calibri" w:cs="Calibri"/>
          <w:sz w:val="24"/>
          <w:szCs w:val="24"/>
        </w:rPr>
        <w:t>7.60 lakh crore (USD 85.9 billion), registering a growth of 12.7% in rupee terms over the previous fiscal. The performance was driven by robust domestic demand, higher vehicle production, sustained investments in capacity and technology, and steady export growth despite an increasingly uncertain global environment. Over the last five years, the industry has more than doubled in size, expanding at a CAGR of 17%, reaffirming India's emergence as a globally competitive automotive manufacturing base.</w:t>
      </w:r>
    </w:p>
    <w:p w:rsidR="001C5FB5" w:rsidRPr="002B0E10" w:rsidRDefault="00000000" w:rsidP="001C5FB5">
      <w:pPr>
        <w:jc w:val="both"/>
        <w:rPr>
          <w:rFonts w:ascii="Calibri" w:hAnsi="Calibri" w:cs="Calibri"/>
          <w:sz w:val="24"/>
          <w:szCs w:val="24"/>
        </w:rPr>
      </w:pPr>
      <w:r w:rsidRPr="002B0E10">
        <w:rPr>
          <w:rFonts w:ascii="Calibri" w:hAnsi="Calibri" w:cs="Calibri"/>
          <w:bCs/>
          <w:sz w:val="24"/>
          <w:szCs w:val="24"/>
        </w:rPr>
        <w:t>Commenting on the industry's performance,</w:t>
      </w:r>
      <w:r w:rsidRPr="002B0E10">
        <w:rPr>
          <w:rFonts w:ascii="Calibri" w:hAnsi="Calibri" w:cs="Calibri"/>
          <w:b/>
          <w:sz w:val="24"/>
          <w:szCs w:val="24"/>
        </w:rPr>
        <w:t xml:space="preserve"> Vinnie Mehta, Director General, ACMA, </w:t>
      </w:r>
      <w:r w:rsidRPr="002B0E10">
        <w:rPr>
          <w:rFonts w:ascii="Calibri" w:hAnsi="Calibri" w:cs="Calibri"/>
          <w:bCs/>
          <w:sz w:val="24"/>
          <w:szCs w:val="24"/>
        </w:rPr>
        <w:t>said:</w:t>
      </w:r>
      <w:r w:rsidR="001C5FB5" w:rsidRPr="002B0E10">
        <w:rPr>
          <w:rFonts w:ascii="Calibri" w:hAnsi="Calibri" w:cs="Calibri"/>
          <w:sz w:val="24"/>
          <w:szCs w:val="24"/>
        </w:rPr>
        <w:t xml:space="preserve"> </w:t>
      </w:r>
      <w:r w:rsidRPr="002B0E10">
        <w:rPr>
          <w:rFonts w:ascii="Calibri" w:hAnsi="Calibri" w:cs="Calibri"/>
          <w:sz w:val="24"/>
          <w:szCs w:val="24"/>
        </w:rPr>
        <w:t>“FY26 reaffirmed the strength and resilience of India’s auto component industry. Robust domestic demand, continued investments in capacity and technology, and the confidence of global customers enabled the industry to deliver another year of healthy growth despite a challenging international environment. As global supply chains continue to diversify, India is steadily strengthening its position as a trusted manufacturing and sourcing partner for the global automotive industry.</w:t>
      </w:r>
    </w:p>
    <w:p w:rsidR="00321519" w:rsidRPr="002B0E10" w:rsidRDefault="00000000" w:rsidP="001C5FB5">
      <w:pPr>
        <w:jc w:val="both"/>
        <w:rPr>
          <w:rFonts w:ascii="Calibri" w:hAnsi="Calibri" w:cs="Calibri"/>
          <w:sz w:val="24"/>
          <w:szCs w:val="24"/>
        </w:rPr>
      </w:pPr>
      <w:r w:rsidRPr="002B0E10">
        <w:rPr>
          <w:rFonts w:ascii="Calibri" w:hAnsi="Calibri" w:cs="Calibri"/>
          <w:sz w:val="24"/>
          <w:szCs w:val="24"/>
        </w:rPr>
        <w:t>While imports of advanced technology products and specialised components increased during the year, they also underline the next opportunity before us</w:t>
      </w:r>
      <w:r w:rsidR="00FF0DAA">
        <w:rPr>
          <w:rFonts w:ascii="Calibri" w:hAnsi="Calibri" w:cs="Calibri"/>
          <w:sz w:val="24"/>
          <w:szCs w:val="24"/>
        </w:rPr>
        <w:t xml:space="preserve"> - </w:t>
      </w:r>
      <w:r w:rsidRPr="002B0E10">
        <w:rPr>
          <w:rFonts w:ascii="Calibri" w:hAnsi="Calibri" w:cs="Calibri"/>
          <w:sz w:val="24"/>
          <w:szCs w:val="24"/>
        </w:rPr>
        <w:t xml:space="preserve">to deepen </w:t>
      </w:r>
      <w:proofErr w:type="spellStart"/>
      <w:r w:rsidRPr="002B0E10">
        <w:rPr>
          <w:rFonts w:ascii="Calibri" w:hAnsi="Calibri" w:cs="Calibri"/>
          <w:sz w:val="24"/>
          <w:szCs w:val="24"/>
        </w:rPr>
        <w:t>localisation</w:t>
      </w:r>
      <w:proofErr w:type="spellEnd"/>
      <w:r w:rsidRPr="002B0E10">
        <w:rPr>
          <w:rFonts w:ascii="Calibri" w:hAnsi="Calibri" w:cs="Calibri"/>
          <w:sz w:val="24"/>
          <w:szCs w:val="24"/>
        </w:rPr>
        <w:t>, accelerate technology development and move further up the value chain. The industry’s long-term competitiveness will increasingly be defined by innovation, quality, sustainability and supply-chain resilience.”</w:t>
      </w:r>
    </w:p>
    <w:p w:rsidR="001C5FB5" w:rsidRPr="002B0E10" w:rsidRDefault="00000000" w:rsidP="001C5FB5">
      <w:pPr>
        <w:jc w:val="both"/>
        <w:rPr>
          <w:rFonts w:ascii="Calibri" w:hAnsi="Calibri" w:cs="Calibri"/>
          <w:sz w:val="24"/>
          <w:szCs w:val="24"/>
        </w:rPr>
      </w:pPr>
      <w:r w:rsidRPr="002B0E10">
        <w:rPr>
          <w:rFonts w:ascii="Calibri" w:hAnsi="Calibri" w:cs="Calibri"/>
          <w:bCs/>
          <w:sz w:val="24"/>
          <w:szCs w:val="24"/>
        </w:rPr>
        <w:t>Sharing the outlook for the industry,</w:t>
      </w:r>
      <w:r w:rsidRPr="002B0E10">
        <w:rPr>
          <w:rFonts w:ascii="Calibri" w:hAnsi="Calibri" w:cs="Calibri"/>
          <w:b/>
          <w:sz w:val="24"/>
          <w:szCs w:val="24"/>
        </w:rPr>
        <w:t xml:space="preserve"> </w:t>
      </w:r>
      <w:proofErr w:type="spellStart"/>
      <w:r w:rsidR="00C03DBB" w:rsidRPr="002B0E10">
        <w:rPr>
          <w:rFonts w:ascii="Calibri" w:hAnsi="Calibri" w:cs="Calibri"/>
          <w:b/>
          <w:sz w:val="24"/>
          <w:szCs w:val="24"/>
        </w:rPr>
        <w:t>Mr</w:t>
      </w:r>
      <w:proofErr w:type="spellEnd"/>
      <w:r w:rsidR="00C03DBB" w:rsidRPr="002B0E10">
        <w:rPr>
          <w:rFonts w:ascii="Calibri" w:hAnsi="Calibri" w:cs="Calibri"/>
          <w:b/>
          <w:sz w:val="24"/>
          <w:szCs w:val="24"/>
        </w:rPr>
        <w:t xml:space="preserve"> </w:t>
      </w:r>
      <w:proofErr w:type="spellStart"/>
      <w:r w:rsidR="00C03DBB" w:rsidRPr="002B0E10">
        <w:rPr>
          <w:rFonts w:ascii="Calibri" w:hAnsi="Calibri" w:cs="Calibri"/>
          <w:b/>
          <w:sz w:val="24"/>
          <w:szCs w:val="24"/>
        </w:rPr>
        <w:t>Vikrampati</w:t>
      </w:r>
      <w:proofErr w:type="spellEnd"/>
      <w:r w:rsidR="00C03DBB" w:rsidRPr="002B0E10">
        <w:rPr>
          <w:rFonts w:ascii="Calibri" w:hAnsi="Calibri" w:cs="Calibri"/>
          <w:b/>
          <w:sz w:val="24"/>
          <w:szCs w:val="24"/>
        </w:rPr>
        <w:t xml:space="preserve"> Singhania</w:t>
      </w:r>
      <w:r w:rsidRPr="002B0E10">
        <w:rPr>
          <w:rFonts w:ascii="Calibri" w:hAnsi="Calibri" w:cs="Calibri"/>
          <w:b/>
          <w:sz w:val="24"/>
          <w:szCs w:val="24"/>
        </w:rPr>
        <w:t xml:space="preserve"> President</w:t>
      </w:r>
      <w:r w:rsidR="00C03DBB" w:rsidRPr="002B0E10">
        <w:rPr>
          <w:rFonts w:ascii="Calibri" w:hAnsi="Calibri" w:cs="Calibri"/>
          <w:b/>
          <w:sz w:val="24"/>
          <w:szCs w:val="24"/>
        </w:rPr>
        <w:t xml:space="preserve">, </w:t>
      </w:r>
      <w:r w:rsidRPr="002B0E10">
        <w:rPr>
          <w:rFonts w:ascii="Calibri" w:hAnsi="Calibri" w:cs="Calibri"/>
          <w:b/>
          <w:sz w:val="24"/>
          <w:szCs w:val="24"/>
        </w:rPr>
        <w:t>ACMA</w:t>
      </w:r>
      <w:r w:rsidR="00C03DBB" w:rsidRPr="002B0E10">
        <w:rPr>
          <w:rFonts w:ascii="Calibri" w:hAnsi="Calibri" w:cs="Calibri"/>
          <w:b/>
          <w:sz w:val="24"/>
          <w:szCs w:val="24"/>
        </w:rPr>
        <w:t xml:space="preserve"> and Vice Chairman &amp; MD, JK </w:t>
      </w:r>
      <w:proofErr w:type="spellStart"/>
      <w:r w:rsidR="00C03DBB" w:rsidRPr="002B0E10">
        <w:rPr>
          <w:rFonts w:ascii="Calibri" w:hAnsi="Calibri" w:cs="Calibri"/>
          <w:b/>
          <w:sz w:val="24"/>
          <w:szCs w:val="24"/>
        </w:rPr>
        <w:t>Fenner</w:t>
      </w:r>
      <w:proofErr w:type="spellEnd"/>
      <w:r w:rsidR="00C03DBB" w:rsidRPr="002B0E10">
        <w:rPr>
          <w:rFonts w:ascii="Calibri" w:hAnsi="Calibri" w:cs="Calibri"/>
          <w:b/>
          <w:sz w:val="24"/>
          <w:szCs w:val="24"/>
        </w:rPr>
        <w:t xml:space="preserve"> (India)</w:t>
      </w:r>
      <w:r w:rsidRPr="002B0E10">
        <w:rPr>
          <w:rFonts w:ascii="Calibri" w:hAnsi="Calibri" w:cs="Calibri"/>
          <w:b/>
          <w:sz w:val="24"/>
          <w:szCs w:val="24"/>
        </w:rPr>
        <w:t xml:space="preserve"> </w:t>
      </w:r>
      <w:r w:rsidRPr="002B0E10">
        <w:rPr>
          <w:rFonts w:ascii="Calibri" w:hAnsi="Calibri" w:cs="Calibri"/>
          <w:bCs/>
          <w:sz w:val="24"/>
          <w:szCs w:val="24"/>
        </w:rPr>
        <w:t>said:</w:t>
      </w:r>
      <w:r w:rsidR="001C5FB5" w:rsidRPr="002B0E10">
        <w:rPr>
          <w:rFonts w:ascii="Calibri" w:hAnsi="Calibri" w:cs="Calibri"/>
          <w:sz w:val="24"/>
          <w:szCs w:val="24"/>
        </w:rPr>
        <w:t xml:space="preserve"> </w:t>
      </w:r>
      <w:r w:rsidRPr="002B0E10">
        <w:rPr>
          <w:rFonts w:ascii="Calibri" w:hAnsi="Calibri" w:cs="Calibri"/>
          <w:sz w:val="24"/>
          <w:szCs w:val="24"/>
        </w:rPr>
        <w:t xml:space="preserve">“The medium- to long-term outlook for the Indian </w:t>
      </w:r>
      <w:r w:rsidRPr="002B0E10">
        <w:rPr>
          <w:rFonts w:ascii="Calibri" w:hAnsi="Calibri" w:cs="Calibri"/>
          <w:sz w:val="24"/>
          <w:szCs w:val="24"/>
        </w:rPr>
        <w:lastRenderedPageBreak/>
        <w:t xml:space="preserve">auto component industry remains positive. Growing domestic demand, infrastructure-led economic growth, expanding manufacturing investments, deeper </w:t>
      </w:r>
      <w:r w:rsidR="00FF0DAA">
        <w:rPr>
          <w:rFonts w:ascii="Calibri" w:hAnsi="Calibri" w:cs="Calibri"/>
          <w:sz w:val="24"/>
          <w:szCs w:val="24"/>
        </w:rPr>
        <w:t xml:space="preserve">global </w:t>
      </w:r>
      <w:r w:rsidRPr="002B0E10">
        <w:rPr>
          <w:rFonts w:ascii="Calibri" w:hAnsi="Calibri" w:cs="Calibri"/>
          <w:sz w:val="24"/>
          <w:szCs w:val="24"/>
        </w:rPr>
        <w:t>integration through Free Trade Agreements and increasing global sourcing from India are creating significant opportunities for the sector.</w:t>
      </w:r>
    </w:p>
    <w:p w:rsidR="00321519" w:rsidRPr="002B0E10" w:rsidRDefault="00000000" w:rsidP="001C5FB5">
      <w:pPr>
        <w:jc w:val="both"/>
        <w:rPr>
          <w:rFonts w:ascii="Calibri" w:hAnsi="Calibri" w:cs="Calibri"/>
          <w:sz w:val="24"/>
          <w:szCs w:val="24"/>
        </w:rPr>
      </w:pPr>
      <w:r w:rsidRPr="002B0E10">
        <w:rPr>
          <w:rFonts w:ascii="Calibri" w:hAnsi="Calibri" w:cs="Calibri"/>
          <w:sz w:val="24"/>
          <w:szCs w:val="24"/>
        </w:rPr>
        <w:t>At the same time, geopolitical developments, supply-chain disruptions, the availability of critical minerals such as rare earth magnets, logistics costs and raw material volatility will require continued strategic focus. The industry remains committed to investing in advanced manufacturing, localisation, digitalisation and sustainable mobility solutions to enhance India’s global competitiveness.”</w:t>
      </w:r>
    </w:p>
    <w:p w:rsidR="00321519" w:rsidRPr="002B0E10" w:rsidRDefault="00000000" w:rsidP="001C5FB5">
      <w:pPr>
        <w:jc w:val="both"/>
        <w:rPr>
          <w:rFonts w:ascii="Calibri" w:hAnsi="Calibri" w:cs="Calibri"/>
          <w:sz w:val="24"/>
          <w:szCs w:val="24"/>
        </w:rPr>
      </w:pPr>
      <w:r w:rsidRPr="002B0E10">
        <w:rPr>
          <w:rFonts w:ascii="Calibri" w:hAnsi="Calibri" w:cs="Calibri"/>
          <w:b/>
          <w:sz w:val="24"/>
          <w:szCs w:val="24"/>
        </w:rPr>
        <w:t>Key highlights of ACMA Industry Performance Review FY2025–26:</w:t>
      </w:r>
    </w:p>
    <w:p w:rsidR="00321519" w:rsidRPr="002B0E10" w:rsidRDefault="00000000" w:rsidP="002B0E10">
      <w:pPr>
        <w:pStyle w:val="ListParagraph"/>
        <w:numPr>
          <w:ilvl w:val="0"/>
          <w:numId w:val="13"/>
        </w:numPr>
        <w:ind w:left="709" w:hanging="425"/>
        <w:jc w:val="both"/>
        <w:rPr>
          <w:rFonts w:ascii="Calibri" w:hAnsi="Calibri" w:cs="Calibri"/>
          <w:sz w:val="24"/>
          <w:szCs w:val="24"/>
        </w:rPr>
      </w:pPr>
      <w:r w:rsidRPr="002B0E10">
        <w:rPr>
          <w:rFonts w:ascii="Calibri" w:hAnsi="Calibri" w:cs="Calibri"/>
          <w:sz w:val="24"/>
          <w:szCs w:val="24"/>
        </w:rPr>
        <w:t xml:space="preserve">Industry turnover reached </w:t>
      </w:r>
      <w:r w:rsidR="00EF60C2">
        <w:rPr>
          <w:rFonts w:ascii="Calibri" w:hAnsi="Calibri" w:cs="Calibri"/>
          <w:sz w:val="24"/>
          <w:szCs w:val="24"/>
        </w:rPr>
        <w:t xml:space="preserve">INR. </w:t>
      </w:r>
      <w:r w:rsidRPr="002B0E10">
        <w:rPr>
          <w:rFonts w:ascii="Calibri" w:hAnsi="Calibri" w:cs="Calibri"/>
          <w:sz w:val="24"/>
          <w:szCs w:val="24"/>
        </w:rPr>
        <w:t>7,59,234 crore (USD 85.9 billion), up 12.7%.</w:t>
      </w:r>
    </w:p>
    <w:p w:rsidR="00321519" w:rsidRPr="002B0E10" w:rsidRDefault="00000000" w:rsidP="002B0E10">
      <w:pPr>
        <w:pStyle w:val="ListParagraph"/>
        <w:numPr>
          <w:ilvl w:val="0"/>
          <w:numId w:val="13"/>
        </w:numPr>
        <w:ind w:left="709" w:hanging="425"/>
        <w:jc w:val="both"/>
        <w:rPr>
          <w:rFonts w:ascii="Calibri" w:hAnsi="Calibri" w:cs="Calibri"/>
          <w:sz w:val="24"/>
          <w:szCs w:val="24"/>
        </w:rPr>
      </w:pPr>
      <w:r w:rsidRPr="002B0E10">
        <w:rPr>
          <w:rFonts w:ascii="Calibri" w:hAnsi="Calibri" w:cs="Calibri"/>
          <w:sz w:val="24"/>
          <w:szCs w:val="24"/>
        </w:rPr>
        <w:t xml:space="preserve">Supplies to OEMs grew 16.3% to </w:t>
      </w:r>
      <w:r w:rsidR="00EF60C2">
        <w:rPr>
          <w:rFonts w:ascii="Calibri" w:hAnsi="Calibri" w:cs="Calibri"/>
          <w:sz w:val="24"/>
          <w:szCs w:val="24"/>
        </w:rPr>
        <w:t xml:space="preserve">INR. </w:t>
      </w:r>
      <w:r w:rsidRPr="002B0E10">
        <w:rPr>
          <w:rFonts w:ascii="Calibri" w:hAnsi="Calibri" w:cs="Calibri"/>
          <w:sz w:val="24"/>
          <w:szCs w:val="24"/>
        </w:rPr>
        <w:t xml:space="preserve">6,62,893 crore (USD 75 billion), supported by </w:t>
      </w:r>
      <w:r w:rsidR="00FF0DAA">
        <w:rPr>
          <w:rFonts w:ascii="Calibri" w:hAnsi="Calibri" w:cs="Calibri"/>
          <w:sz w:val="24"/>
          <w:szCs w:val="24"/>
        </w:rPr>
        <w:t>significant growth in production of vehciles.</w:t>
      </w:r>
    </w:p>
    <w:p w:rsidR="00321519" w:rsidRPr="002B0E10" w:rsidRDefault="00000000" w:rsidP="002B0E10">
      <w:pPr>
        <w:pStyle w:val="ListParagraph"/>
        <w:numPr>
          <w:ilvl w:val="0"/>
          <w:numId w:val="13"/>
        </w:numPr>
        <w:ind w:left="709" w:hanging="425"/>
        <w:jc w:val="both"/>
        <w:rPr>
          <w:rFonts w:ascii="Calibri" w:hAnsi="Calibri" w:cs="Calibri"/>
          <w:sz w:val="24"/>
          <w:szCs w:val="24"/>
        </w:rPr>
      </w:pPr>
      <w:r w:rsidRPr="002B0E10">
        <w:rPr>
          <w:rFonts w:ascii="Calibri" w:hAnsi="Calibri" w:cs="Calibri"/>
          <w:sz w:val="24"/>
          <w:szCs w:val="24"/>
        </w:rPr>
        <w:t xml:space="preserve">Aftermarket increased 9% to </w:t>
      </w:r>
      <w:r w:rsidR="00EF60C2">
        <w:rPr>
          <w:rFonts w:ascii="Calibri" w:hAnsi="Calibri" w:cs="Calibri"/>
          <w:sz w:val="24"/>
          <w:szCs w:val="24"/>
        </w:rPr>
        <w:t xml:space="preserve">INR. </w:t>
      </w:r>
      <w:r w:rsidRPr="002B0E10">
        <w:rPr>
          <w:rFonts w:ascii="Calibri" w:hAnsi="Calibri" w:cs="Calibri"/>
          <w:sz w:val="24"/>
          <w:szCs w:val="24"/>
        </w:rPr>
        <w:t>1,08,453 crore (USD 12.3 billion), aided by a growing vehicle parc and increasing formalisation of the repair ecosystem.</w:t>
      </w:r>
    </w:p>
    <w:p w:rsidR="00321519" w:rsidRPr="002B0E10" w:rsidRDefault="00000000" w:rsidP="002B0E10">
      <w:pPr>
        <w:pStyle w:val="ListParagraph"/>
        <w:numPr>
          <w:ilvl w:val="0"/>
          <w:numId w:val="13"/>
        </w:numPr>
        <w:ind w:left="709" w:hanging="425"/>
        <w:jc w:val="both"/>
        <w:rPr>
          <w:rFonts w:ascii="Calibri" w:hAnsi="Calibri" w:cs="Calibri"/>
          <w:sz w:val="24"/>
          <w:szCs w:val="24"/>
        </w:rPr>
      </w:pPr>
      <w:r w:rsidRPr="002B0E10">
        <w:rPr>
          <w:rFonts w:ascii="Calibri" w:hAnsi="Calibri" w:cs="Calibri"/>
          <w:sz w:val="24"/>
          <w:szCs w:val="24"/>
        </w:rPr>
        <w:t>Exports rose 5% to USD 24 billion (</w:t>
      </w:r>
      <w:r w:rsidR="00EF60C2">
        <w:rPr>
          <w:rFonts w:ascii="Calibri" w:hAnsi="Calibri" w:cs="Calibri"/>
          <w:sz w:val="24"/>
          <w:szCs w:val="24"/>
        </w:rPr>
        <w:t xml:space="preserve">INR. </w:t>
      </w:r>
      <w:r w:rsidRPr="002B0E10">
        <w:rPr>
          <w:rFonts w:ascii="Calibri" w:hAnsi="Calibri" w:cs="Calibri"/>
          <w:sz w:val="24"/>
          <w:szCs w:val="24"/>
        </w:rPr>
        <w:t>2,12,176 crore). Europe recorded the strongest growth, while engine components and drive transmission &amp; steering continued to account for over half of exports.</w:t>
      </w:r>
    </w:p>
    <w:p w:rsidR="00321519" w:rsidRPr="002B0E10" w:rsidRDefault="00000000" w:rsidP="002B0E10">
      <w:pPr>
        <w:pStyle w:val="ListParagraph"/>
        <w:numPr>
          <w:ilvl w:val="0"/>
          <w:numId w:val="13"/>
        </w:numPr>
        <w:ind w:left="709" w:hanging="425"/>
        <w:jc w:val="both"/>
        <w:rPr>
          <w:rFonts w:ascii="Calibri" w:hAnsi="Calibri" w:cs="Calibri"/>
          <w:sz w:val="24"/>
          <w:szCs w:val="24"/>
        </w:rPr>
      </w:pPr>
      <w:r w:rsidRPr="002B0E10">
        <w:rPr>
          <w:rFonts w:ascii="Calibri" w:hAnsi="Calibri" w:cs="Calibri"/>
          <w:sz w:val="24"/>
          <w:szCs w:val="24"/>
        </w:rPr>
        <w:t>Imports grew 13% to USD 25.4 billion (</w:t>
      </w:r>
      <w:r w:rsidR="00EF60C2">
        <w:rPr>
          <w:rFonts w:ascii="Calibri" w:hAnsi="Calibri" w:cs="Calibri"/>
          <w:sz w:val="24"/>
          <w:szCs w:val="24"/>
        </w:rPr>
        <w:t xml:space="preserve">INR. </w:t>
      </w:r>
      <w:r w:rsidRPr="002B0E10">
        <w:rPr>
          <w:rFonts w:ascii="Calibri" w:hAnsi="Calibri" w:cs="Calibri"/>
          <w:sz w:val="24"/>
          <w:szCs w:val="24"/>
        </w:rPr>
        <w:t>2,24,287 crore), driven by higher demand for advanced technologies and specialised components. China, Japan and Germany remained the leading sourcing markets.</w:t>
      </w:r>
    </w:p>
    <w:p w:rsidR="00321519" w:rsidRPr="002B0E10" w:rsidRDefault="00000000" w:rsidP="002B0E10">
      <w:pPr>
        <w:pStyle w:val="ListParagraph"/>
        <w:numPr>
          <w:ilvl w:val="0"/>
          <w:numId w:val="13"/>
        </w:numPr>
        <w:ind w:left="709" w:hanging="425"/>
        <w:jc w:val="both"/>
        <w:rPr>
          <w:rFonts w:ascii="Calibri" w:hAnsi="Calibri" w:cs="Calibri"/>
          <w:sz w:val="24"/>
          <w:szCs w:val="24"/>
        </w:rPr>
      </w:pPr>
      <w:r w:rsidRPr="002B0E10">
        <w:rPr>
          <w:rFonts w:ascii="Calibri" w:hAnsi="Calibri" w:cs="Calibri"/>
          <w:sz w:val="24"/>
          <w:szCs w:val="24"/>
        </w:rPr>
        <w:t>EV component supplies accounted for 4.6% of domestic OEM supplies (excluding lithium-ion batteries).</w:t>
      </w:r>
    </w:p>
    <w:p w:rsidR="00321519" w:rsidRPr="002B0E10" w:rsidRDefault="00000000" w:rsidP="001C5FB5">
      <w:pPr>
        <w:jc w:val="both"/>
        <w:rPr>
          <w:rFonts w:ascii="Calibri" w:hAnsi="Calibri" w:cs="Calibri"/>
          <w:sz w:val="24"/>
          <w:szCs w:val="24"/>
        </w:rPr>
      </w:pPr>
      <w:r w:rsidRPr="002B0E10">
        <w:rPr>
          <w:rFonts w:ascii="Calibri" w:hAnsi="Calibri" w:cs="Calibri"/>
          <w:b/>
          <w:sz w:val="24"/>
          <w:szCs w:val="24"/>
        </w:rPr>
        <w:t>Outlook</w:t>
      </w:r>
      <w:r w:rsidR="00AE5A7C" w:rsidRPr="002B0E10">
        <w:rPr>
          <w:rFonts w:ascii="Calibri" w:hAnsi="Calibri" w:cs="Calibri"/>
          <w:sz w:val="24"/>
          <w:szCs w:val="24"/>
        </w:rPr>
        <w:t xml:space="preserve">: </w:t>
      </w:r>
      <w:r w:rsidRPr="002B0E10">
        <w:rPr>
          <w:rFonts w:ascii="Calibri" w:hAnsi="Calibri" w:cs="Calibri"/>
          <w:sz w:val="24"/>
          <w:szCs w:val="24"/>
        </w:rPr>
        <w:t>With sustained policy support, continued capacity expansion, increasing value addition, multiple Free Trade Agreements and growing global confidence in Indian manufacturing, the auto component industry remains well positioned to strengthen India's role as a preferred global automotive manufacturing and sourcing hub. The industry will continue to focus on technology, localisation, innovation and resilient supply chains to support the next phase of growth.</w:t>
      </w:r>
    </w:p>
    <w:p w:rsidR="00312399" w:rsidRDefault="00312399" w:rsidP="001907D0">
      <w:pPr>
        <w:jc w:val="center"/>
        <w:rPr>
          <w:rFonts w:eastAsia="Arial" w:cstheme="minorHAnsi"/>
          <w:sz w:val="24"/>
          <w:szCs w:val="24"/>
          <w:lang w:val="en-GB"/>
        </w:rPr>
      </w:pPr>
      <w:r>
        <w:rPr>
          <w:rFonts w:eastAsia="Arial" w:cstheme="minorHAnsi"/>
          <w:sz w:val="24"/>
          <w:szCs w:val="24"/>
          <w:lang w:val="en-GB"/>
        </w:rPr>
        <w:t>______________</w:t>
      </w:r>
    </w:p>
    <w:p w:rsidR="002B0E10" w:rsidRPr="00FF0DAA" w:rsidRDefault="002B0E10" w:rsidP="002B0E10">
      <w:pPr>
        <w:jc w:val="both"/>
        <w:rPr>
          <w:rFonts w:ascii="Calibri" w:hAnsi="Calibri" w:cs="Calibri"/>
          <w:sz w:val="24"/>
          <w:szCs w:val="24"/>
        </w:rPr>
      </w:pPr>
      <w:r w:rsidRPr="00FF0DAA">
        <w:rPr>
          <w:rFonts w:ascii="Calibri" w:hAnsi="Calibri" w:cs="Calibri"/>
          <w:b/>
          <w:bCs/>
          <w:sz w:val="24"/>
          <w:szCs w:val="24"/>
        </w:rPr>
        <w:t>About ACMA:</w:t>
      </w:r>
      <w:r w:rsidRPr="00FF0DAA">
        <w:rPr>
          <w:rFonts w:ascii="Calibri" w:hAnsi="Calibri" w:cs="Calibri"/>
          <w:sz w:val="24"/>
          <w:szCs w:val="24"/>
        </w:rPr>
        <w:t xml:space="preserve"> The Automotive Component Manufacturers Association of India (ACMA) is the apex body representing the interest of the Indian Auto Component Industry. Its membership of over 1,100 manufacturers contributes more than 90% of the auto component industry’s turnover in the organized sector.  </w:t>
      </w:r>
    </w:p>
    <w:p w:rsidR="00312399" w:rsidRPr="00FF0DAA" w:rsidRDefault="00312399" w:rsidP="00312399">
      <w:pPr>
        <w:jc w:val="both"/>
        <w:rPr>
          <w:rFonts w:ascii="Calibri" w:hAnsi="Calibri" w:cs="Calibri"/>
          <w:sz w:val="24"/>
          <w:szCs w:val="24"/>
        </w:rPr>
      </w:pPr>
      <w:r w:rsidRPr="00FF0DAA">
        <w:rPr>
          <w:rFonts w:ascii="Calibri" w:hAnsi="Calibri" w:cs="Calibri"/>
          <w:b/>
          <w:bCs/>
          <w:sz w:val="24"/>
          <w:szCs w:val="24"/>
        </w:rPr>
        <w:lastRenderedPageBreak/>
        <w:t>About ACMA Mobility Foundation</w:t>
      </w:r>
      <w:r w:rsidRPr="00FF0DAA">
        <w:rPr>
          <w:rFonts w:ascii="Calibri" w:hAnsi="Calibri" w:cs="Calibri"/>
          <w:sz w:val="24"/>
          <w:szCs w:val="24"/>
        </w:rPr>
        <w:t>: The ACMA Mobility Foundation (AMF), embodying the Indian automotive industry's evolution into the mobility landscape, is ACMA's initiative to foster inclusive growth and development by integrating non-traditional automotive players in the value chain. By leveraging diverse strengths, ACMA aims to drive innovation and collaboratively build a sustainable future for the entire mobility ecosystem.</w:t>
      </w:r>
    </w:p>
    <w:p w:rsidR="00312399" w:rsidRPr="00FF0DAA" w:rsidRDefault="00312399" w:rsidP="00312399">
      <w:pPr>
        <w:jc w:val="both"/>
        <w:rPr>
          <w:rFonts w:ascii="Calibri" w:hAnsi="Calibri" w:cs="Calibri"/>
          <w:sz w:val="24"/>
          <w:szCs w:val="24"/>
        </w:rPr>
      </w:pPr>
    </w:p>
    <w:p w:rsidR="00312399" w:rsidRPr="00FF0DAA" w:rsidRDefault="00312399" w:rsidP="00312399">
      <w:pPr>
        <w:jc w:val="both"/>
        <w:rPr>
          <w:rFonts w:ascii="Calibri" w:hAnsi="Calibri" w:cs="Calibri"/>
          <w:sz w:val="24"/>
          <w:szCs w:val="24"/>
        </w:rPr>
      </w:pPr>
    </w:p>
    <w:p w:rsidR="00312399" w:rsidRPr="00FF0DAA" w:rsidRDefault="00312399" w:rsidP="00312399">
      <w:pPr>
        <w:jc w:val="both"/>
        <w:rPr>
          <w:rFonts w:ascii="Calibri" w:hAnsi="Calibri" w:cs="Calibri"/>
          <w:sz w:val="24"/>
          <w:szCs w:val="24"/>
        </w:rPr>
      </w:pPr>
    </w:p>
    <w:p w:rsidR="00312399" w:rsidRPr="00FF0DAA" w:rsidRDefault="00312399" w:rsidP="00312399">
      <w:pPr>
        <w:jc w:val="both"/>
        <w:rPr>
          <w:rFonts w:ascii="Calibri" w:hAnsi="Calibri" w:cs="Calibri"/>
          <w:b/>
          <w:bCs/>
          <w:sz w:val="24"/>
          <w:szCs w:val="24"/>
        </w:rPr>
      </w:pPr>
      <w:r w:rsidRPr="00FF0DAA">
        <w:rPr>
          <w:rFonts w:ascii="Calibri" w:hAnsi="Calibri" w:cs="Calibri"/>
          <w:b/>
          <w:bCs/>
          <w:sz w:val="24"/>
          <w:szCs w:val="24"/>
        </w:rPr>
        <w:t>For further details:</w:t>
      </w:r>
    </w:p>
    <w:tbl>
      <w:tblPr>
        <w:tblW w:w="9972" w:type="dxa"/>
        <w:tblCellMar>
          <w:left w:w="0" w:type="dxa"/>
          <w:right w:w="0" w:type="dxa"/>
        </w:tblCellMar>
        <w:tblLook w:val="04A0" w:firstRow="1" w:lastRow="0" w:firstColumn="1" w:lastColumn="0" w:noHBand="0" w:noVBand="1"/>
      </w:tblPr>
      <w:tblGrid>
        <w:gridCol w:w="3119"/>
        <w:gridCol w:w="6853"/>
      </w:tblGrid>
      <w:tr w:rsidR="00312399" w:rsidRPr="00FF0DAA" w:rsidTr="00CA607D">
        <w:trPr>
          <w:trHeight w:val="752"/>
        </w:trPr>
        <w:tc>
          <w:tcPr>
            <w:tcW w:w="3119" w:type="dxa"/>
            <w:tcBorders>
              <w:top w:val="nil"/>
              <w:left w:val="nil"/>
              <w:bottom w:val="nil"/>
              <w:right w:val="single" w:sz="8" w:space="0" w:color="auto"/>
            </w:tcBorders>
            <w:tcMar>
              <w:top w:w="0" w:type="dxa"/>
              <w:left w:w="108" w:type="dxa"/>
              <w:bottom w:w="0" w:type="dxa"/>
              <w:right w:w="108" w:type="dxa"/>
            </w:tcMar>
            <w:hideMark/>
          </w:tcPr>
          <w:p w:rsidR="00312399" w:rsidRPr="00FF0DAA" w:rsidRDefault="00312399" w:rsidP="00CA607D">
            <w:pPr>
              <w:autoSpaceDE w:val="0"/>
              <w:autoSpaceDN w:val="0"/>
              <w:jc w:val="both"/>
              <w:rPr>
                <w:rFonts w:ascii="Calibri" w:hAnsi="Calibri" w:cs="Calibri"/>
                <w:b/>
                <w:bCs/>
                <w:sz w:val="24"/>
                <w:szCs w:val="24"/>
              </w:rPr>
            </w:pPr>
            <w:r w:rsidRPr="00FF0DAA">
              <w:rPr>
                <w:rFonts w:ascii="Calibri" w:hAnsi="Calibri" w:cs="Calibri"/>
                <w:b/>
                <w:bCs/>
                <w:sz w:val="24"/>
                <w:szCs w:val="24"/>
              </w:rPr>
              <w:t>ACMA</w:t>
            </w:r>
          </w:p>
          <w:p w:rsidR="00312399" w:rsidRPr="00FF0DAA" w:rsidRDefault="00312399" w:rsidP="00CA607D">
            <w:pPr>
              <w:autoSpaceDE w:val="0"/>
              <w:autoSpaceDN w:val="0"/>
              <w:jc w:val="both"/>
              <w:rPr>
                <w:rFonts w:ascii="Calibri" w:hAnsi="Calibri" w:cs="Calibri"/>
                <w:sz w:val="24"/>
                <w:szCs w:val="24"/>
              </w:rPr>
            </w:pPr>
            <w:proofErr w:type="spellStart"/>
            <w:r w:rsidRPr="00FF0DAA">
              <w:rPr>
                <w:rFonts w:ascii="Calibri" w:hAnsi="Calibri" w:cs="Calibri"/>
                <w:b/>
                <w:bCs/>
                <w:sz w:val="24"/>
                <w:szCs w:val="24"/>
              </w:rPr>
              <w:t>Upender</w:t>
            </w:r>
            <w:proofErr w:type="spellEnd"/>
            <w:r w:rsidRPr="00FF0DAA">
              <w:rPr>
                <w:rFonts w:ascii="Calibri" w:hAnsi="Calibri" w:cs="Calibri"/>
                <w:b/>
                <w:bCs/>
                <w:sz w:val="24"/>
                <w:szCs w:val="24"/>
              </w:rPr>
              <w:t xml:space="preserve"> Singh</w:t>
            </w:r>
            <w:r w:rsidRPr="00FF0DAA">
              <w:rPr>
                <w:rFonts w:ascii="Calibri" w:hAnsi="Calibri" w:cs="Calibri"/>
                <w:sz w:val="24"/>
                <w:szCs w:val="24"/>
              </w:rPr>
              <w:t xml:space="preserve"> </w:t>
            </w:r>
            <w:r w:rsidR="002B0E10" w:rsidRPr="00FF0DAA">
              <w:rPr>
                <w:rFonts w:ascii="Calibri" w:hAnsi="Calibri" w:cs="Calibri"/>
                <w:sz w:val="24"/>
                <w:szCs w:val="24"/>
              </w:rPr>
              <w:t xml:space="preserve">| </w:t>
            </w:r>
            <w:r w:rsidRPr="00FF0DAA">
              <w:rPr>
                <w:rFonts w:ascii="Calibri" w:hAnsi="Calibri" w:cs="Calibri"/>
                <w:sz w:val="24"/>
                <w:szCs w:val="24"/>
              </w:rPr>
              <w:t>9901259169</w:t>
            </w:r>
          </w:p>
          <w:p w:rsidR="00312399" w:rsidRPr="00FF0DAA" w:rsidRDefault="00000000" w:rsidP="00CA607D">
            <w:pPr>
              <w:autoSpaceDE w:val="0"/>
              <w:autoSpaceDN w:val="0"/>
              <w:jc w:val="both"/>
              <w:rPr>
                <w:rFonts w:ascii="Calibri" w:hAnsi="Calibri" w:cs="Calibri"/>
                <w:sz w:val="24"/>
                <w:szCs w:val="24"/>
              </w:rPr>
            </w:pPr>
            <w:hyperlink r:id="rId9" w:history="1">
              <w:r w:rsidR="00312399" w:rsidRPr="00FF0DAA">
                <w:rPr>
                  <w:rFonts w:ascii="Calibri" w:hAnsi="Calibri" w:cs="Calibri"/>
                </w:rPr>
                <w:t>Upender.singh@acma.in</w:t>
              </w:r>
            </w:hyperlink>
            <w:r w:rsidR="00312399" w:rsidRPr="00FF0DAA">
              <w:rPr>
                <w:rFonts w:ascii="Calibri" w:hAnsi="Calibri" w:cs="Calibri"/>
                <w:sz w:val="24"/>
                <w:szCs w:val="24"/>
              </w:rPr>
              <w:t xml:space="preserve"> </w:t>
            </w:r>
          </w:p>
        </w:tc>
        <w:tc>
          <w:tcPr>
            <w:tcW w:w="6853" w:type="dxa"/>
            <w:tcMar>
              <w:top w:w="0" w:type="dxa"/>
              <w:left w:w="108" w:type="dxa"/>
              <w:bottom w:w="0" w:type="dxa"/>
              <w:right w:w="108" w:type="dxa"/>
            </w:tcMar>
            <w:hideMark/>
          </w:tcPr>
          <w:p w:rsidR="00312399" w:rsidRPr="00FF0DAA" w:rsidRDefault="00312399" w:rsidP="00CA607D">
            <w:pPr>
              <w:jc w:val="both"/>
              <w:rPr>
                <w:rFonts w:ascii="Calibri" w:hAnsi="Calibri" w:cs="Calibri"/>
                <w:b/>
                <w:bCs/>
                <w:sz w:val="24"/>
                <w:szCs w:val="24"/>
              </w:rPr>
            </w:pPr>
            <w:r w:rsidRPr="00FF0DAA">
              <w:rPr>
                <w:rFonts w:ascii="Calibri" w:hAnsi="Calibri" w:cs="Calibri"/>
                <w:b/>
                <w:bCs/>
                <w:sz w:val="24"/>
                <w:szCs w:val="24"/>
              </w:rPr>
              <w:t>Archetype</w:t>
            </w:r>
          </w:p>
          <w:p w:rsidR="00312399" w:rsidRPr="00FF0DAA" w:rsidRDefault="00312399" w:rsidP="00CA607D">
            <w:pPr>
              <w:pBdr>
                <w:top w:val="nil"/>
                <w:left w:val="nil"/>
                <w:bottom w:val="nil"/>
                <w:right w:val="nil"/>
                <w:between w:val="nil"/>
              </w:pBdr>
              <w:rPr>
                <w:rFonts w:ascii="Calibri" w:hAnsi="Calibri" w:cs="Calibri"/>
                <w:sz w:val="24"/>
                <w:szCs w:val="24"/>
              </w:rPr>
            </w:pPr>
            <w:proofErr w:type="spellStart"/>
            <w:r w:rsidRPr="00FF0DAA">
              <w:rPr>
                <w:rFonts w:ascii="Calibri" w:hAnsi="Calibri" w:cs="Calibri"/>
                <w:b/>
                <w:bCs/>
                <w:sz w:val="24"/>
                <w:szCs w:val="24"/>
              </w:rPr>
              <w:t>Swetank</w:t>
            </w:r>
            <w:proofErr w:type="spellEnd"/>
            <w:r w:rsidRPr="00FF0DAA">
              <w:rPr>
                <w:rFonts w:ascii="Calibri" w:hAnsi="Calibri" w:cs="Calibri"/>
                <w:b/>
                <w:bCs/>
                <w:sz w:val="24"/>
                <w:szCs w:val="24"/>
              </w:rPr>
              <w:t xml:space="preserve"> Kumar</w:t>
            </w:r>
            <w:r w:rsidRPr="00FF0DAA">
              <w:rPr>
                <w:rFonts w:ascii="Calibri" w:hAnsi="Calibri" w:cs="Calibri"/>
                <w:sz w:val="24"/>
                <w:szCs w:val="24"/>
              </w:rPr>
              <w:t xml:space="preserve"> | 9818564004 </w:t>
            </w:r>
            <w:hyperlink r:id="rId10">
              <w:r w:rsidRPr="00FF0DAA">
                <w:rPr>
                  <w:rFonts w:ascii="Calibri" w:hAnsi="Calibri" w:cs="Calibri"/>
                  <w:sz w:val="24"/>
                  <w:szCs w:val="24"/>
                </w:rPr>
                <w:t>swetank.kumar@archetype.co</w:t>
              </w:r>
            </w:hyperlink>
          </w:p>
          <w:p w:rsidR="00312399" w:rsidRPr="00FF0DAA" w:rsidRDefault="00312399" w:rsidP="00CA607D">
            <w:pPr>
              <w:pBdr>
                <w:top w:val="nil"/>
                <w:left w:val="nil"/>
                <w:bottom w:val="nil"/>
                <w:right w:val="nil"/>
                <w:between w:val="nil"/>
              </w:pBdr>
              <w:rPr>
                <w:rFonts w:ascii="Calibri" w:hAnsi="Calibri" w:cs="Calibri"/>
                <w:sz w:val="24"/>
                <w:szCs w:val="24"/>
              </w:rPr>
            </w:pPr>
            <w:proofErr w:type="spellStart"/>
            <w:r w:rsidRPr="00FF0DAA">
              <w:rPr>
                <w:rFonts w:ascii="Calibri" w:hAnsi="Calibri" w:cs="Calibri"/>
                <w:b/>
                <w:bCs/>
                <w:sz w:val="24"/>
                <w:szCs w:val="24"/>
              </w:rPr>
              <w:t>Prerna</w:t>
            </w:r>
            <w:proofErr w:type="spellEnd"/>
            <w:r w:rsidRPr="00FF0DAA">
              <w:rPr>
                <w:rFonts w:ascii="Calibri" w:hAnsi="Calibri" w:cs="Calibri"/>
                <w:b/>
                <w:bCs/>
                <w:sz w:val="24"/>
                <w:szCs w:val="24"/>
              </w:rPr>
              <w:t xml:space="preserve"> Rao</w:t>
            </w:r>
            <w:r w:rsidRPr="00FF0DAA">
              <w:rPr>
                <w:rFonts w:ascii="Calibri" w:hAnsi="Calibri" w:cs="Calibri"/>
                <w:sz w:val="24"/>
                <w:szCs w:val="24"/>
              </w:rPr>
              <w:t xml:space="preserve"> | 9873879787  </w:t>
            </w:r>
            <w:hyperlink r:id="rId11">
              <w:r w:rsidRPr="00FF0DAA">
                <w:rPr>
                  <w:rFonts w:ascii="Calibri" w:hAnsi="Calibri" w:cs="Calibri"/>
                  <w:sz w:val="24"/>
                  <w:szCs w:val="24"/>
                </w:rPr>
                <w:t>prerna.rao@archetype.co</w:t>
              </w:r>
            </w:hyperlink>
          </w:p>
          <w:p w:rsidR="00312399" w:rsidRPr="00FF0DAA" w:rsidRDefault="00312399" w:rsidP="00CA607D">
            <w:pPr>
              <w:pStyle w:val="MediumGrid21"/>
              <w:rPr>
                <w:rFonts w:eastAsiaTheme="minorEastAsia" w:cs="Calibri"/>
                <w:sz w:val="24"/>
                <w:szCs w:val="24"/>
              </w:rPr>
            </w:pPr>
            <w:proofErr w:type="spellStart"/>
            <w:r w:rsidRPr="00FF0DAA">
              <w:rPr>
                <w:rFonts w:eastAsiaTheme="minorEastAsia" w:cs="Calibri"/>
                <w:b/>
                <w:bCs/>
                <w:sz w:val="24"/>
                <w:szCs w:val="24"/>
              </w:rPr>
              <w:t>Dewanshu</w:t>
            </w:r>
            <w:proofErr w:type="spellEnd"/>
            <w:r w:rsidRPr="00FF0DAA">
              <w:rPr>
                <w:rFonts w:eastAsiaTheme="minorEastAsia" w:cs="Calibri"/>
                <w:b/>
                <w:bCs/>
                <w:sz w:val="24"/>
                <w:szCs w:val="24"/>
              </w:rPr>
              <w:t xml:space="preserve"> Jain</w:t>
            </w:r>
            <w:r w:rsidRPr="00FF0DAA">
              <w:rPr>
                <w:rFonts w:eastAsiaTheme="minorEastAsia" w:cs="Calibri"/>
                <w:sz w:val="24"/>
                <w:szCs w:val="24"/>
              </w:rPr>
              <w:t xml:space="preserve"> | 9599971379 </w:t>
            </w:r>
            <w:hyperlink r:id="rId12">
              <w:r w:rsidRPr="00FF0DAA">
                <w:rPr>
                  <w:rFonts w:eastAsiaTheme="minorEastAsia" w:cs="Calibri"/>
                </w:rPr>
                <w:t>dewanshu.jain@archetype.co</w:t>
              </w:r>
            </w:hyperlink>
          </w:p>
        </w:tc>
      </w:tr>
    </w:tbl>
    <w:p w:rsidR="001C5FB5" w:rsidRPr="001C5FB5" w:rsidRDefault="001C5FB5">
      <w:pPr>
        <w:jc w:val="both"/>
        <w:rPr>
          <w:rFonts w:asciiTheme="majorHAnsi" w:hAnsiTheme="majorHAnsi" w:cstheme="majorHAnsi"/>
          <w:sz w:val="24"/>
          <w:szCs w:val="24"/>
        </w:rPr>
      </w:pPr>
    </w:p>
    <w:sectPr w:rsidR="001C5FB5" w:rsidRPr="001C5FB5" w:rsidSect="00034616">
      <w:footerReference w:type="even" r:id="rId13"/>
      <w:footerReference w:type="defaul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2737F" w:rsidRDefault="0062737F" w:rsidP="00EA3AE0">
      <w:pPr>
        <w:spacing w:after="0" w:line="240" w:lineRule="auto"/>
      </w:pPr>
      <w:r>
        <w:separator/>
      </w:r>
    </w:p>
  </w:endnote>
  <w:endnote w:type="continuationSeparator" w:id="0">
    <w:p w:rsidR="0062737F" w:rsidRDefault="0062737F" w:rsidP="00EA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notTrueType/>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10628214"/>
      <w:docPartObj>
        <w:docPartGallery w:val="Page Numbers (Bottom of Page)"/>
        <w:docPartUnique/>
      </w:docPartObj>
    </w:sdtPr>
    <w:sdtContent>
      <w:p w:rsidR="00EA3AE0" w:rsidRDefault="00EA3AE0" w:rsidP="00BB3F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EA3AE0" w:rsidRDefault="00EA3AE0" w:rsidP="00EA3AE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38894025"/>
      <w:docPartObj>
        <w:docPartGallery w:val="Page Numbers (Bottom of Page)"/>
        <w:docPartUnique/>
      </w:docPartObj>
    </w:sdtPr>
    <w:sdtContent>
      <w:p w:rsidR="00EA3AE0" w:rsidRDefault="00EA3AE0" w:rsidP="00BB3F2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EA3AE0" w:rsidRDefault="00EA3AE0" w:rsidP="00EA3AE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2737F" w:rsidRDefault="0062737F" w:rsidP="00EA3AE0">
      <w:pPr>
        <w:spacing w:after="0" w:line="240" w:lineRule="auto"/>
      </w:pPr>
      <w:r>
        <w:separator/>
      </w:r>
    </w:p>
  </w:footnote>
  <w:footnote w:type="continuationSeparator" w:id="0">
    <w:p w:rsidR="0062737F" w:rsidRDefault="0062737F" w:rsidP="00EA3A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A67905"/>
    <w:multiLevelType w:val="hybridMultilevel"/>
    <w:tmpl w:val="13CCD6AE"/>
    <w:lvl w:ilvl="0" w:tplc="C9485BA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BD058B"/>
    <w:multiLevelType w:val="hybridMultilevel"/>
    <w:tmpl w:val="B1BCEAD6"/>
    <w:lvl w:ilvl="0" w:tplc="C9485BA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97E9C"/>
    <w:multiLevelType w:val="hybridMultilevel"/>
    <w:tmpl w:val="15026234"/>
    <w:lvl w:ilvl="0" w:tplc="C9485BA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311ED3"/>
    <w:multiLevelType w:val="hybridMultilevel"/>
    <w:tmpl w:val="72D6FD92"/>
    <w:lvl w:ilvl="0" w:tplc="C9485BA8">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E832697"/>
    <w:multiLevelType w:val="hybridMultilevel"/>
    <w:tmpl w:val="3FC4D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920A03"/>
    <w:multiLevelType w:val="hybridMultilevel"/>
    <w:tmpl w:val="875E959C"/>
    <w:lvl w:ilvl="0" w:tplc="C9485BA8">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822545506">
    <w:abstractNumId w:val="8"/>
  </w:num>
  <w:num w:numId="2" w16cid:durableId="1247422096">
    <w:abstractNumId w:val="6"/>
  </w:num>
  <w:num w:numId="3" w16cid:durableId="695499478">
    <w:abstractNumId w:val="5"/>
  </w:num>
  <w:num w:numId="4" w16cid:durableId="88813382">
    <w:abstractNumId w:val="4"/>
  </w:num>
  <w:num w:numId="5" w16cid:durableId="1184049142">
    <w:abstractNumId w:val="7"/>
  </w:num>
  <w:num w:numId="6" w16cid:durableId="1918592876">
    <w:abstractNumId w:val="3"/>
  </w:num>
  <w:num w:numId="7" w16cid:durableId="1381443653">
    <w:abstractNumId w:val="2"/>
  </w:num>
  <w:num w:numId="8" w16cid:durableId="1685278816">
    <w:abstractNumId w:val="1"/>
  </w:num>
  <w:num w:numId="9" w16cid:durableId="196285529">
    <w:abstractNumId w:val="0"/>
  </w:num>
  <w:num w:numId="10" w16cid:durableId="1856965730">
    <w:abstractNumId w:val="13"/>
  </w:num>
  <w:num w:numId="11" w16cid:durableId="42215372">
    <w:abstractNumId w:val="10"/>
  </w:num>
  <w:num w:numId="12" w16cid:durableId="1236283527">
    <w:abstractNumId w:val="14"/>
  </w:num>
  <w:num w:numId="13" w16cid:durableId="576599874">
    <w:abstractNumId w:val="12"/>
  </w:num>
  <w:num w:numId="14" w16cid:durableId="2035961193">
    <w:abstractNumId w:val="9"/>
  </w:num>
  <w:num w:numId="15" w16cid:durableId="11818937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2979"/>
    <w:rsid w:val="0015074B"/>
    <w:rsid w:val="001907D0"/>
    <w:rsid w:val="001C5FB5"/>
    <w:rsid w:val="0029639D"/>
    <w:rsid w:val="002B0E10"/>
    <w:rsid w:val="002D70B8"/>
    <w:rsid w:val="00312399"/>
    <w:rsid w:val="00321519"/>
    <w:rsid w:val="00326F90"/>
    <w:rsid w:val="004E57E5"/>
    <w:rsid w:val="0062737F"/>
    <w:rsid w:val="006F221D"/>
    <w:rsid w:val="00AA1D8D"/>
    <w:rsid w:val="00AE5A7C"/>
    <w:rsid w:val="00B47730"/>
    <w:rsid w:val="00C03DBB"/>
    <w:rsid w:val="00CB0664"/>
    <w:rsid w:val="00CC7536"/>
    <w:rsid w:val="00DC4873"/>
    <w:rsid w:val="00E652DE"/>
    <w:rsid w:val="00EA3AE0"/>
    <w:rsid w:val="00EF60C2"/>
    <w:rsid w:val="00FC693F"/>
    <w:rsid w:val="00FF0D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2C32B6"/>
  <w14:defaultImageDpi w14:val="300"/>
  <w15:docId w15:val="{269DB8FA-F2F1-9B42-933D-A4614C5F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EA3AE0"/>
  </w:style>
  <w:style w:type="character" w:styleId="Hyperlink">
    <w:name w:val="Hyperlink"/>
    <w:uiPriority w:val="99"/>
    <w:rsid w:val="00312399"/>
    <w:rPr>
      <w:color w:val="0000FF"/>
      <w:u w:val="single"/>
    </w:rPr>
  </w:style>
  <w:style w:type="paragraph" w:customStyle="1" w:styleId="MediumGrid21">
    <w:name w:val="Medium Grid 21"/>
    <w:uiPriority w:val="1"/>
    <w:qFormat/>
    <w:rsid w:val="00312399"/>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ewanshu.jain@archetype.c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erna.rao@archetype.c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wetank.kumar@archetype.co" TargetMode="External"/><Relationship Id="rId4" Type="http://schemas.openxmlformats.org/officeDocument/2006/relationships/settings" Target="settings.xml"/><Relationship Id="rId9" Type="http://schemas.openxmlformats.org/officeDocument/2006/relationships/hyperlink" Target="mailto:Upender.singh@acma.i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Vinnie Mehta</cp:lastModifiedBy>
  <cp:revision>6</cp:revision>
  <cp:lastPrinted>2026-07-01T11:58:00Z</cp:lastPrinted>
  <dcterms:created xsi:type="dcterms:W3CDTF">2026-07-01T12:20:00Z</dcterms:created>
  <dcterms:modified xsi:type="dcterms:W3CDTF">2026-07-06T07:25:00Z</dcterms:modified>
  <cp:category/>
</cp:coreProperties>
</file>