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794" w:rsidRDefault="00675794" w:rsidP="00675794">
      <w:pPr>
        <w:jc w:val="right"/>
        <w:rPr>
          <w:rFonts w:eastAsia="Gulim"/>
        </w:rPr>
      </w:pPr>
      <w:r w:rsidRPr="006D507B">
        <w:rPr>
          <w:rFonts w:eastAsia="Gulim"/>
        </w:rPr>
        <w:t>Annexure-I</w:t>
      </w:r>
    </w:p>
    <w:p w:rsidR="00675794" w:rsidRPr="007669BD" w:rsidRDefault="00675794" w:rsidP="00675794">
      <w:pPr>
        <w:jc w:val="center"/>
        <w:rPr>
          <w:rFonts w:ascii="Helvetica" w:eastAsia="Gulim" w:hAnsi="Helvetica" w:cs="Arial"/>
          <w:b/>
          <w:sz w:val="12"/>
          <w:szCs w:val="12"/>
        </w:rPr>
      </w:pPr>
    </w:p>
    <w:p w:rsidR="00675794" w:rsidRPr="00675794" w:rsidRDefault="00675794" w:rsidP="00675794">
      <w:pPr>
        <w:jc w:val="center"/>
        <w:rPr>
          <w:rFonts w:ascii="Helvetica" w:eastAsia="Gulim" w:hAnsi="Helvetica" w:cs="Arial"/>
          <w:b/>
          <w:sz w:val="32"/>
          <w:szCs w:val="32"/>
        </w:rPr>
      </w:pPr>
      <w:r w:rsidRPr="00675794">
        <w:rPr>
          <w:rFonts w:ascii="Helvetica" w:eastAsia="Gulim" w:hAnsi="Helvetica" w:cs="Arial"/>
          <w:b/>
          <w:sz w:val="32"/>
          <w:szCs w:val="32"/>
        </w:rPr>
        <w:t>SIX SIGMA GREEN BELT CERTIFICATION PROGRAMME (LEVEL 1)</w:t>
      </w:r>
    </w:p>
    <w:p w:rsidR="00675794" w:rsidRPr="00675794" w:rsidRDefault="00675794" w:rsidP="00675794">
      <w:pPr>
        <w:pStyle w:val="Heading1"/>
        <w:tabs>
          <w:tab w:val="left" w:pos="3380"/>
          <w:tab w:val="center" w:pos="5431"/>
        </w:tabs>
        <w:spacing w:after="100"/>
        <w:rPr>
          <w:rFonts w:cs="Arial"/>
          <w:sz w:val="28"/>
          <w:szCs w:val="28"/>
          <w:u w:val="none"/>
        </w:rPr>
      </w:pPr>
      <w:r>
        <w:rPr>
          <w:rFonts w:cs="Arial"/>
          <w:sz w:val="22"/>
          <w:szCs w:val="22"/>
          <w:u w:val="none"/>
        </w:rPr>
        <w:br/>
      </w:r>
      <w:bookmarkStart w:id="0" w:name="_GoBack"/>
      <w:r w:rsidRPr="00675794">
        <w:rPr>
          <w:rFonts w:cs="Arial"/>
          <w:sz w:val="28"/>
          <w:szCs w:val="28"/>
          <w:u w:val="none"/>
        </w:rPr>
        <w:t xml:space="preserve">10,11 &amp; 12 June </w:t>
      </w:r>
      <w:proofErr w:type="gramStart"/>
      <w:r w:rsidRPr="00675794">
        <w:rPr>
          <w:rFonts w:cs="Arial"/>
          <w:sz w:val="28"/>
          <w:szCs w:val="28"/>
          <w:u w:val="none"/>
        </w:rPr>
        <w:t>–</w:t>
      </w:r>
      <w:r w:rsidRPr="00675794">
        <w:rPr>
          <w:rFonts w:cs="Arial"/>
          <w:sz w:val="28"/>
          <w:szCs w:val="28"/>
          <w:u w:val="none"/>
        </w:rPr>
        <w:t xml:space="preserve"> </w:t>
      </w:r>
      <w:r w:rsidRPr="00675794">
        <w:rPr>
          <w:rFonts w:cs="Arial"/>
          <w:sz w:val="28"/>
          <w:szCs w:val="28"/>
          <w:u w:val="none"/>
        </w:rPr>
        <w:t xml:space="preserve"> 19</w:t>
      </w:r>
      <w:proofErr w:type="gramEnd"/>
      <w:r w:rsidRPr="00675794">
        <w:rPr>
          <w:rFonts w:cs="Arial"/>
          <w:sz w:val="28"/>
          <w:szCs w:val="28"/>
          <w:u w:val="none"/>
        </w:rPr>
        <w:t xml:space="preserve"> &amp; 20 </w:t>
      </w:r>
      <w:r w:rsidRPr="00675794">
        <w:rPr>
          <w:rFonts w:cs="Arial"/>
          <w:sz w:val="28"/>
          <w:szCs w:val="28"/>
          <w:u w:val="none"/>
        </w:rPr>
        <w:t>J</w:t>
      </w:r>
      <w:r w:rsidRPr="00675794">
        <w:rPr>
          <w:rFonts w:cs="Arial"/>
          <w:sz w:val="28"/>
          <w:szCs w:val="28"/>
          <w:u w:val="none"/>
        </w:rPr>
        <w:t xml:space="preserve">uly </w:t>
      </w:r>
    </w:p>
    <w:p w:rsidR="00675794" w:rsidRPr="00675794" w:rsidRDefault="00675794" w:rsidP="00675794">
      <w:pPr>
        <w:jc w:val="center"/>
        <w:rPr>
          <w:rFonts w:ascii="Helvetica" w:eastAsia="Gulim" w:hAnsi="Helvetica" w:cs="Arial"/>
          <w:b/>
          <w:bCs/>
          <w:color w:val="000000"/>
          <w:sz w:val="28"/>
          <w:szCs w:val="28"/>
        </w:rPr>
      </w:pPr>
      <w:proofErr w:type="gramStart"/>
      <w:r w:rsidRPr="00675794">
        <w:rPr>
          <w:rFonts w:ascii="Helvetica" w:hAnsi="Helvetica"/>
          <w:b/>
          <w:sz w:val="28"/>
          <w:szCs w:val="28"/>
        </w:rPr>
        <w:t>Venue :</w:t>
      </w:r>
      <w:proofErr w:type="gramEnd"/>
      <w:r w:rsidRPr="00675794">
        <w:rPr>
          <w:rFonts w:ascii="Helvetica" w:hAnsi="Helvetica"/>
          <w:b/>
          <w:sz w:val="28"/>
          <w:szCs w:val="28"/>
        </w:rPr>
        <w:t xml:space="preserve"> ACMA Office, Pune        </w:t>
      </w:r>
    </w:p>
    <w:p w:rsidR="00675794" w:rsidRPr="00675794" w:rsidRDefault="00675794" w:rsidP="00675794">
      <w:pPr>
        <w:jc w:val="both"/>
        <w:rPr>
          <w:rFonts w:ascii="Helvetica" w:hAnsi="Helvetica"/>
          <w:b/>
          <w:sz w:val="28"/>
          <w:szCs w:val="28"/>
          <w:u w:val="single"/>
        </w:rPr>
      </w:pPr>
    </w:p>
    <w:bookmarkEnd w:id="0"/>
    <w:p w:rsidR="00675794" w:rsidRPr="00BF72A9" w:rsidRDefault="00675794" w:rsidP="0067579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PROGRAM DETAILS</w:t>
      </w:r>
    </w:p>
    <w:p w:rsidR="00675794" w:rsidRDefault="00675794" w:rsidP="00675794">
      <w:pPr>
        <w:rPr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6120"/>
        <w:gridCol w:w="1080"/>
        <w:gridCol w:w="1080"/>
      </w:tblGrid>
      <w:tr w:rsidR="00675794" w:rsidTr="00173907">
        <w:tc>
          <w:tcPr>
            <w:tcW w:w="1368" w:type="dxa"/>
          </w:tcPr>
          <w:p w:rsidR="00675794" w:rsidRDefault="00675794" w:rsidP="00173907">
            <w:r>
              <w:t>Module</w:t>
            </w:r>
          </w:p>
        </w:tc>
        <w:tc>
          <w:tcPr>
            <w:tcW w:w="6120" w:type="dxa"/>
          </w:tcPr>
          <w:p w:rsidR="00675794" w:rsidRDefault="00675794" w:rsidP="00173907">
            <w:r>
              <w:t>Topics discussed</w:t>
            </w:r>
          </w:p>
        </w:tc>
        <w:tc>
          <w:tcPr>
            <w:tcW w:w="1080" w:type="dxa"/>
          </w:tcPr>
          <w:p w:rsidR="00675794" w:rsidRDefault="00675794" w:rsidP="00173907">
            <w:r>
              <w:t>Days</w:t>
            </w:r>
          </w:p>
        </w:tc>
        <w:tc>
          <w:tcPr>
            <w:tcW w:w="1080" w:type="dxa"/>
          </w:tcPr>
          <w:p w:rsidR="00675794" w:rsidRDefault="00675794" w:rsidP="00173907">
            <w:r>
              <w:t>Total Days</w:t>
            </w:r>
          </w:p>
        </w:tc>
      </w:tr>
      <w:tr w:rsidR="00675794" w:rsidTr="00173907">
        <w:trPr>
          <w:cantSplit/>
          <w:trHeight w:val="1103"/>
        </w:trPr>
        <w:tc>
          <w:tcPr>
            <w:tcW w:w="1368" w:type="dxa"/>
            <w:vMerge w:val="restart"/>
          </w:tcPr>
          <w:p w:rsidR="00675794" w:rsidRDefault="00675794" w:rsidP="00173907">
            <w:r>
              <w:t>Module – 1</w:t>
            </w:r>
          </w:p>
          <w:p w:rsidR="00675794" w:rsidRDefault="00675794" w:rsidP="00173907"/>
          <w:p w:rsidR="00675794" w:rsidRDefault="00675794" w:rsidP="00173907">
            <w:r>
              <w:t>June</w:t>
            </w:r>
          </w:p>
          <w:p w:rsidR="00675794" w:rsidRDefault="00675794" w:rsidP="00173907">
            <w:r>
              <w:t>10</w:t>
            </w:r>
            <w:r>
              <w:t>-</w:t>
            </w:r>
            <w:r>
              <w:t>11</w:t>
            </w:r>
            <w:r>
              <w:t>-12</w:t>
            </w:r>
          </w:p>
          <w:p w:rsidR="00675794" w:rsidRDefault="00675794" w:rsidP="00173907"/>
        </w:tc>
        <w:tc>
          <w:tcPr>
            <w:tcW w:w="6120" w:type="dxa"/>
          </w:tcPr>
          <w:p w:rsidR="00675794" w:rsidRDefault="00675794" w:rsidP="00173907">
            <w:r>
              <w:t xml:space="preserve">How to Identify Problems for Solving using </w:t>
            </w:r>
            <w:proofErr w:type="spellStart"/>
            <w:r>
              <w:t>Shainin</w:t>
            </w:r>
            <w:proofErr w:type="spellEnd"/>
            <w:r>
              <w:t xml:space="preserve"> methodology</w:t>
            </w:r>
          </w:p>
          <w:p w:rsidR="00675794" w:rsidRDefault="00675794" w:rsidP="00173907">
            <w:r>
              <w:t>Splitting Generic Problems into Specific Problems</w:t>
            </w:r>
          </w:p>
          <w:p w:rsidR="00675794" w:rsidRDefault="00675794" w:rsidP="00173907">
            <w:r>
              <w:t xml:space="preserve">Classification of problems into 4 categories </w:t>
            </w:r>
          </w:p>
          <w:p w:rsidR="00675794" w:rsidRDefault="00675794" w:rsidP="00173907">
            <w:r>
              <w:t>Phase -1 – Defining the problem</w:t>
            </w:r>
          </w:p>
          <w:p w:rsidR="00675794" w:rsidRDefault="00675794" w:rsidP="00675794">
            <w:pPr>
              <w:numPr>
                <w:ilvl w:val="0"/>
                <w:numId w:val="1"/>
              </w:numPr>
            </w:pPr>
            <w:r>
              <w:t>Understanding the problem</w:t>
            </w:r>
          </w:p>
          <w:p w:rsidR="00675794" w:rsidRDefault="00675794" w:rsidP="00675794">
            <w:pPr>
              <w:numPr>
                <w:ilvl w:val="0"/>
                <w:numId w:val="1"/>
              </w:numPr>
            </w:pPr>
            <w:r>
              <w:t>Past data analysis to identify the Possible cause(s) for the problem</w:t>
            </w:r>
          </w:p>
          <w:p w:rsidR="00675794" w:rsidRDefault="00675794" w:rsidP="00173907"/>
        </w:tc>
        <w:tc>
          <w:tcPr>
            <w:tcW w:w="1080" w:type="dxa"/>
          </w:tcPr>
          <w:p w:rsidR="00675794" w:rsidRDefault="00675794" w:rsidP="00173907">
            <w:r>
              <w:t>1</w:t>
            </w:r>
          </w:p>
        </w:tc>
        <w:tc>
          <w:tcPr>
            <w:tcW w:w="1080" w:type="dxa"/>
            <w:vMerge w:val="restart"/>
          </w:tcPr>
          <w:p w:rsidR="00675794" w:rsidRDefault="00675794" w:rsidP="00173907">
            <w:r>
              <w:t>3</w:t>
            </w:r>
          </w:p>
        </w:tc>
      </w:tr>
      <w:tr w:rsidR="00675794" w:rsidTr="00173907">
        <w:trPr>
          <w:cantSplit/>
          <w:trHeight w:val="1102"/>
        </w:trPr>
        <w:tc>
          <w:tcPr>
            <w:tcW w:w="1368" w:type="dxa"/>
            <w:vMerge/>
          </w:tcPr>
          <w:p w:rsidR="00675794" w:rsidRDefault="00675794" w:rsidP="00173907"/>
        </w:tc>
        <w:tc>
          <w:tcPr>
            <w:tcW w:w="6120" w:type="dxa"/>
          </w:tcPr>
          <w:p w:rsidR="00675794" w:rsidRDefault="00675794" w:rsidP="00173907">
            <w:r>
              <w:t xml:space="preserve">Phase -2 – Measure and Analyze (Pinpointing the actual cause(s) leading to the problem using </w:t>
            </w:r>
            <w:proofErr w:type="spellStart"/>
            <w:r>
              <w:t>Shainin</w:t>
            </w:r>
            <w:proofErr w:type="spellEnd"/>
            <w:r>
              <w:t xml:space="preserve"> techniques)</w:t>
            </w:r>
          </w:p>
          <w:p w:rsidR="00675794" w:rsidRDefault="00675794" w:rsidP="00173907">
            <w:r>
              <w:t>Techniques that will be discussed are</w:t>
            </w:r>
          </w:p>
          <w:p w:rsidR="00675794" w:rsidRDefault="00675794" w:rsidP="00173907"/>
          <w:p w:rsidR="00675794" w:rsidRDefault="00675794" w:rsidP="00173907">
            <w:r>
              <w:t>Tool # 1 – Paired Comparison</w:t>
            </w:r>
          </w:p>
          <w:p w:rsidR="00675794" w:rsidRDefault="00675794" w:rsidP="00173907">
            <w:r>
              <w:t>Tool # 2 – Product/Process search</w:t>
            </w:r>
          </w:p>
          <w:p w:rsidR="00675794" w:rsidRDefault="00675794" w:rsidP="00173907">
            <w:r>
              <w:t>Tool # 3 – Component search</w:t>
            </w:r>
          </w:p>
          <w:p w:rsidR="00675794" w:rsidRDefault="00675794" w:rsidP="00173907">
            <w:r>
              <w:t>Tool # 4 – Modified Component search</w:t>
            </w:r>
          </w:p>
        </w:tc>
        <w:tc>
          <w:tcPr>
            <w:tcW w:w="1080" w:type="dxa"/>
          </w:tcPr>
          <w:p w:rsidR="00675794" w:rsidRDefault="00675794" w:rsidP="00173907">
            <w:r>
              <w:t>2</w:t>
            </w:r>
          </w:p>
        </w:tc>
        <w:tc>
          <w:tcPr>
            <w:tcW w:w="1080" w:type="dxa"/>
            <w:vMerge/>
          </w:tcPr>
          <w:p w:rsidR="00675794" w:rsidRDefault="00675794" w:rsidP="00173907"/>
        </w:tc>
      </w:tr>
      <w:tr w:rsidR="00675794" w:rsidTr="00173907">
        <w:trPr>
          <w:cantSplit/>
          <w:trHeight w:val="540"/>
        </w:trPr>
        <w:tc>
          <w:tcPr>
            <w:tcW w:w="1368" w:type="dxa"/>
            <w:shd w:val="clear" w:color="auto" w:fill="BFBFBF"/>
          </w:tcPr>
          <w:p w:rsidR="00675794" w:rsidRDefault="00675794" w:rsidP="00173907"/>
        </w:tc>
        <w:tc>
          <w:tcPr>
            <w:tcW w:w="6120" w:type="dxa"/>
            <w:shd w:val="clear" w:color="auto" w:fill="BFBFBF"/>
          </w:tcPr>
          <w:p w:rsidR="00675794" w:rsidRDefault="00675794" w:rsidP="00173907"/>
        </w:tc>
        <w:tc>
          <w:tcPr>
            <w:tcW w:w="1080" w:type="dxa"/>
            <w:shd w:val="clear" w:color="auto" w:fill="BFBFBF"/>
          </w:tcPr>
          <w:p w:rsidR="00675794" w:rsidRDefault="00675794" w:rsidP="00173907"/>
        </w:tc>
        <w:tc>
          <w:tcPr>
            <w:tcW w:w="1080" w:type="dxa"/>
            <w:shd w:val="clear" w:color="auto" w:fill="BFBFBF"/>
          </w:tcPr>
          <w:p w:rsidR="00675794" w:rsidRDefault="00675794" w:rsidP="00173907"/>
        </w:tc>
      </w:tr>
      <w:tr w:rsidR="00675794" w:rsidTr="00173907">
        <w:trPr>
          <w:cantSplit/>
          <w:trHeight w:val="369"/>
        </w:trPr>
        <w:tc>
          <w:tcPr>
            <w:tcW w:w="1368" w:type="dxa"/>
            <w:vMerge w:val="restart"/>
          </w:tcPr>
          <w:p w:rsidR="00675794" w:rsidRDefault="00675794" w:rsidP="00173907">
            <w:r>
              <w:t>Module – 2</w:t>
            </w:r>
          </w:p>
          <w:p w:rsidR="00675794" w:rsidRDefault="00675794" w:rsidP="00173907">
            <w:r>
              <w:t>July</w:t>
            </w:r>
            <w:r>
              <w:t xml:space="preserve"> </w:t>
            </w:r>
            <w:r>
              <w:t>19</w:t>
            </w:r>
            <w:r>
              <w:t>,</w:t>
            </w:r>
            <w:r>
              <w:t>20</w:t>
            </w:r>
          </w:p>
        </w:tc>
        <w:tc>
          <w:tcPr>
            <w:tcW w:w="6120" w:type="dxa"/>
          </w:tcPr>
          <w:p w:rsidR="00675794" w:rsidRDefault="00675794" w:rsidP="00173907">
            <w:r>
              <w:t>Project presentation and review</w:t>
            </w:r>
          </w:p>
        </w:tc>
        <w:tc>
          <w:tcPr>
            <w:tcW w:w="1080" w:type="dxa"/>
          </w:tcPr>
          <w:p w:rsidR="00675794" w:rsidRDefault="00675794" w:rsidP="00173907">
            <w:r>
              <w:t xml:space="preserve">1 </w:t>
            </w:r>
          </w:p>
        </w:tc>
        <w:tc>
          <w:tcPr>
            <w:tcW w:w="1080" w:type="dxa"/>
            <w:vMerge w:val="restart"/>
          </w:tcPr>
          <w:p w:rsidR="00675794" w:rsidRDefault="00675794" w:rsidP="00173907">
            <w:r>
              <w:t>2</w:t>
            </w:r>
          </w:p>
        </w:tc>
      </w:tr>
      <w:tr w:rsidR="00675794" w:rsidTr="00173907">
        <w:trPr>
          <w:cantSplit/>
          <w:trHeight w:val="412"/>
        </w:trPr>
        <w:tc>
          <w:tcPr>
            <w:tcW w:w="1368" w:type="dxa"/>
            <w:vMerge/>
          </w:tcPr>
          <w:p w:rsidR="00675794" w:rsidRDefault="00675794" w:rsidP="00173907"/>
        </w:tc>
        <w:tc>
          <w:tcPr>
            <w:tcW w:w="6120" w:type="dxa"/>
          </w:tcPr>
          <w:p w:rsidR="00675794" w:rsidRDefault="00675794" w:rsidP="00173907">
            <w:r>
              <w:t xml:space="preserve">Tool # 5 – B vs C </w:t>
            </w:r>
          </w:p>
          <w:p w:rsidR="00675794" w:rsidRDefault="00675794" w:rsidP="00173907">
            <w:r>
              <w:t>Objective written test and certification</w:t>
            </w:r>
          </w:p>
        </w:tc>
        <w:tc>
          <w:tcPr>
            <w:tcW w:w="1080" w:type="dxa"/>
          </w:tcPr>
          <w:p w:rsidR="00675794" w:rsidRDefault="00675794" w:rsidP="00173907">
            <w:r>
              <w:t>1</w:t>
            </w:r>
          </w:p>
        </w:tc>
        <w:tc>
          <w:tcPr>
            <w:tcW w:w="1080" w:type="dxa"/>
            <w:vMerge/>
          </w:tcPr>
          <w:p w:rsidR="00675794" w:rsidRDefault="00675794" w:rsidP="00173907"/>
        </w:tc>
      </w:tr>
    </w:tbl>
    <w:p w:rsidR="00675794" w:rsidRDefault="00675794" w:rsidP="00675794">
      <w:pPr>
        <w:pStyle w:val="Header"/>
        <w:rPr>
          <w:sz w:val="20"/>
          <w:szCs w:val="20"/>
        </w:rPr>
      </w:pPr>
      <w:proofErr w:type="gramStart"/>
      <w:r w:rsidRPr="00BF673D">
        <w:rPr>
          <w:b/>
          <w:sz w:val="20"/>
          <w:szCs w:val="20"/>
          <w:u w:val="single"/>
        </w:rPr>
        <w:t>Note :</w:t>
      </w:r>
      <w:proofErr w:type="gramEnd"/>
      <w:r>
        <w:rPr>
          <w:sz w:val="20"/>
          <w:szCs w:val="20"/>
        </w:rPr>
        <w:t xml:space="preserve">            1. </w:t>
      </w:r>
      <w:r w:rsidRPr="007C0F8A">
        <w:rPr>
          <w:sz w:val="20"/>
          <w:szCs w:val="20"/>
        </w:rPr>
        <w:t>ACMA will iss</w:t>
      </w:r>
      <w:r>
        <w:rPr>
          <w:sz w:val="20"/>
          <w:szCs w:val="20"/>
        </w:rPr>
        <w:t xml:space="preserve">ue Green Belt </w:t>
      </w:r>
      <w:r w:rsidRPr="007C0F8A">
        <w:rPr>
          <w:sz w:val="20"/>
          <w:szCs w:val="20"/>
        </w:rPr>
        <w:t xml:space="preserve">Certificate to </w:t>
      </w:r>
      <w:r>
        <w:rPr>
          <w:sz w:val="20"/>
          <w:szCs w:val="20"/>
        </w:rPr>
        <w:t>all succe</w:t>
      </w:r>
      <w:r w:rsidRPr="007C0F8A">
        <w:rPr>
          <w:sz w:val="20"/>
          <w:szCs w:val="20"/>
        </w:rPr>
        <w:t>ssful candidates</w:t>
      </w:r>
      <w:r w:rsidRPr="007C0F8A">
        <w:rPr>
          <w:sz w:val="20"/>
          <w:szCs w:val="20"/>
        </w:rPr>
        <w:tab/>
      </w:r>
    </w:p>
    <w:p w:rsidR="00675794" w:rsidRDefault="00675794" w:rsidP="00675794">
      <w:pPr>
        <w:pStyle w:val="Header"/>
        <w:rPr>
          <w:sz w:val="20"/>
          <w:szCs w:val="20"/>
        </w:rPr>
      </w:pPr>
      <w:r>
        <w:rPr>
          <w:sz w:val="20"/>
          <w:szCs w:val="20"/>
        </w:rPr>
        <w:t xml:space="preserve">                      2. </w:t>
      </w:r>
      <w:r w:rsidRPr="007C0F8A">
        <w:rPr>
          <w:sz w:val="20"/>
          <w:szCs w:val="20"/>
        </w:rPr>
        <w:tab/>
        <w:t xml:space="preserve">Program timings </w:t>
      </w:r>
      <w:smartTag w:uri="urn:schemas-microsoft-com:office:smarttags" w:element="PersonName">
        <w:r w:rsidRPr="007C0F8A">
          <w:rPr>
            <w:sz w:val="20"/>
            <w:szCs w:val="20"/>
          </w:rPr>
          <w:t>ar</w:t>
        </w:r>
      </w:smartTag>
      <w:r w:rsidRPr="007C0F8A">
        <w:rPr>
          <w:sz w:val="20"/>
          <w:szCs w:val="20"/>
        </w:rPr>
        <w:t>e from 9.</w:t>
      </w:r>
      <w:r>
        <w:rPr>
          <w:sz w:val="20"/>
          <w:szCs w:val="20"/>
        </w:rPr>
        <w:t>3</w:t>
      </w:r>
      <w:r w:rsidRPr="007C0F8A">
        <w:rPr>
          <w:sz w:val="20"/>
          <w:szCs w:val="20"/>
        </w:rPr>
        <w:t xml:space="preserve">0 a.m. to 5.30 </w:t>
      </w:r>
      <w:proofErr w:type="gramStart"/>
      <w:r w:rsidRPr="007C0F8A">
        <w:rPr>
          <w:sz w:val="20"/>
          <w:szCs w:val="20"/>
        </w:rPr>
        <w:t>p.m.,</w:t>
      </w:r>
      <w:proofErr w:type="gramEnd"/>
      <w:r w:rsidRPr="007C0F8A">
        <w:rPr>
          <w:sz w:val="20"/>
          <w:szCs w:val="20"/>
        </w:rPr>
        <w:t xml:space="preserve"> it will be extended as and when required in the evening</w:t>
      </w:r>
    </w:p>
    <w:sectPr w:rsidR="00675794" w:rsidSect="00E77B13">
      <w:footerReference w:type="default" r:id="rId5"/>
      <w:pgSz w:w="12240" w:h="15840"/>
      <w:pgMar w:top="907" w:right="907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0F2" w:rsidRPr="0062482A" w:rsidRDefault="00675794" w:rsidP="00E77B13">
    <w:pPr>
      <w:jc w:val="both"/>
      <w:rPr>
        <w:rFonts w:ascii="Garamond" w:eastAsia="Gulim" w:hAnsi="Garamond" w:cs="Arial"/>
        <w:b/>
      </w:rPr>
    </w:pPr>
    <w:r>
      <w:rPr>
        <w:rFonts w:eastAsia="Gulim"/>
        <w:noProof/>
      </w:rPr>
      <w:drawing>
        <wp:inline distT="0" distB="0" distL="0" distR="0">
          <wp:extent cx="514350" cy="4857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Gulim"/>
      </w:rPr>
      <w:tab/>
    </w:r>
    <w:r>
      <w:rPr>
        <w:rFonts w:eastAsia="Gulim"/>
      </w:rPr>
      <w:tab/>
    </w:r>
    <w:r>
      <w:rPr>
        <w:rFonts w:eastAsia="Gulim"/>
      </w:rPr>
      <w:tab/>
    </w:r>
    <w:r>
      <w:rPr>
        <w:rFonts w:eastAsia="Gulim"/>
      </w:rPr>
      <w:tab/>
    </w:r>
    <w:r>
      <w:rPr>
        <w:rFonts w:eastAsia="Gulim"/>
      </w:rPr>
      <w:tab/>
      <w:t xml:space="preserve">    </w:t>
    </w:r>
    <w:r>
      <w:rPr>
        <w:rFonts w:eastAsia="Gulim"/>
      </w:rPr>
      <w:tab/>
    </w:r>
    <w:r>
      <w:rPr>
        <w:rFonts w:eastAsia="Gulim"/>
      </w:rPr>
      <w:tab/>
    </w:r>
    <w:r>
      <w:rPr>
        <w:rFonts w:eastAsia="Gulim"/>
      </w:rPr>
      <w:tab/>
    </w:r>
    <w:r>
      <w:rPr>
        <w:rFonts w:eastAsia="Gulim"/>
      </w:rPr>
      <w:tab/>
      <w:t xml:space="preserve">                  </w:t>
    </w:r>
    <w:r>
      <w:rPr>
        <w:noProof/>
        <w:color w:val="003366"/>
      </w:rPr>
      <w:drawing>
        <wp:inline distT="0" distB="0" distL="0" distR="0">
          <wp:extent cx="1219200" cy="333375"/>
          <wp:effectExtent l="0" t="0" r="0" b="9525"/>
          <wp:docPr id="1" name="Picture 1" descr="acm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m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A74F0"/>
    <w:multiLevelType w:val="hybridMultilevel"/>
    <w:tmpl w:val="2DF68B84"/>
    <w:lvl w:ilvl="0" w:tplc="6950A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94"/>
    <w:rsid w:val="0067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78B0906"/>
  <w15:chartTrackingRefBased/>
  <w15:docId w15:val="{4504BB84-4299-4ADE-B182-013912FD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5794"/>
    <w:pPr>
      <w:keepNext/>
      <w:jc w:val="center"/>
      <w:outlineLvl w:val="0"/>
    </w:pPr>
    <w:rPr>
      <w:rFonts w:ascii="Helvetica" w:eastAsia="Gulim" w:hAnsi="Helvetica"/>
      <w:b/>
      <w:bCs/>
      <w:sz w:val="3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57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75794"/>
    <w:rPr>
      <w:rFonts w:ascii="Helvetica" w:eastAsia="Gulim" w:hAnsi="Helvetica" w:cs="Times New Roman"/>
      <w:b/>
      <w:bCs/>
      <w:sz w:val="32"/>
      <w:szCs w:val="24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67579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6757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79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2019-05-10T04:21:00Z</dcterms:created>
  <dcterms:modified xsi:type="dcterms:W3CDTF">2019-05-10T04:24:00Z</dcterms:modified>
</cp:coreProperties>
</file>